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A5" w:rsidRDefault="00F653A5">
      <w:pPr>
        <w:rPr>
          <w:iCs/>
          <w:sz w:val="22"/>
          <w:szCs w:val="22"/>
        </w:rPr>
      </w:pPr>
      <w:bookmarkStart w:id="0" w:name="_GoBack"/>
      <w:bookmarkEnd w:id="0"/>
    </w:p>
    <w:tbl>
      <w:tblPr>
        <w:tblW w:w="12421" w:type="dxa"/>
        <w:tblInd w:w="3291" w:type="dxa"/>
        <w:tblLayout w:type="fixed"/>
        <w:tblCellMar>
          <w:left w:w="30" w:type="dxa"/>
          <w:right w:w="30" w:type="dxa"/>
        </w:tblCellMar>
        <w:tblLook w:val="0000" w:firstRow="0" w:lastRow="0" w:firstColumn="0" w:lastColumn="0" w:noHBand="0" w:noVBand="0"/>
      </w:tblPr>
      <w:tblGrid>
        <w:gridCol w:w="12421"/>
      </w:tblGrid>
      <w:tr w:rsidR="00F653A5" w:rsidTr="00F00952">
        <w:trPr>
          <w:trHeight w:val="2328"/>
        </w:trPr>
        <w:tc>
          <w:tcPr>
            <w:tcW w:w="12421" w:type="dxa"/>
          </w:tcPr>
          <w:p w:rsidR="00F653A5" w:rsidRPr="00F00952" w:rsidRDefault="00F00952">
            <w:pPr>
              <w:pStyle w:val="Header"/>
              <w:widowControl/>
              <w:tabs>
                <w:tab w:val="clear" w:pos="4153"/>
                <w:tab w:val="clear" w:pos="8306"/>
              </w:tabs>
              <w:spacing w:line="43" w:lineRule="exact"/>
              <w:rPr>
                <w:sz w:val="28"/>
                <w:szCs w:val="22"/>
              </w:rPr>
            </w:pPr>
            <w:r>
              <w:rPr>
                <w:noProof/>
                <w:lang w:eastAsia="en-AU"/>
              </w:rPr>
              <w:drawing>
                <wp:anchor distT="0" distB="0" distL="114300" distR="114300" simplePos="0" relativeHeight="251656192" behindDoc="0" locked="0" layoutInCell="0" allowOverlap="1" wp14:anchorId="47806A7E" wp14:editId="248243E9">
                  <wp:simplePos x="0" y="0"/>
                  <wp:positionH relativeFrom="column">
                    <wp:posOffset>324485</wp:posOffset>
                  </wp:positionH>
                  <wp:positionV relativeFrom="paragraph">
                    <wp:posOffset>179705</wp:posOffset>
                  </wp:positionV>
                  <wp:extent cx="1371600" cy="1203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4B">
              <w:rPr>
                <w:noProof/>
                <w:lang w:eastAsia="en-AU"/>
              </w:rPr>
              <mc:AlternateContent>
                <mc:Choice Requires="wps">
                  <w:drawing>
                    <wp:anchor distT="0" distB="0" distL="114300" distR="114300" simplePos="0" relativeHeight="251654144" behindDoc="0" locked="0" layoutInCell="0" allowOverlap="1" wp14:anchorId="15A5CB04" wp14:editId="146A0D21">
                      <wp:simplePos x="0" y="0"/>
                      <wp:positionH relativeFrom="column">
                        <wp:posOffset>-77470</wp:posOffset>
                      </wp:positionH>
                      <wp:positionV relativeFrom="paragraph">
                        <wp:posOffset>-635</wp:posOffset>
                      </wp:positionV>
                      <wp:extent cx="10034270" cy="0"/>
                      <wp:effectExtent l="0" t="19050" r="50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42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05pt" to="7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I5Rop0&#10;INFGKI7y0JneuBIClmprQ230pF7NRtPvDim9bIna88jw7WwgLQsZybuUsHEG8Hf9F80ghhy8jm06&#10;NbYLkNAAdIpqnG9q8JNHFA6zNH0o8kdQjQ7OhJRDprHOf+a6Q8GosATSEZkcN84HJqQcQsJFSq+F&#10;lFFtqVAP5c4mj5OY4bQULHhDnLP73VJadCRhYOIX6wLPfZjVB8UiWssJW11tT4S82HC7VAEPigE+&#10;V+syET+e0qfVbDUrRkU+XY2KtK5Hn9bLYjRdZ4+T+qFeLuvsZ6CWFWUrGOMqsBumMyv+Tv3rO7nM&#10;1W0+b31I3qPHhgHZ4R9JRzWDgJdR2Gl23tpBZRjIGHx9PGHi7/dg3z/xxS8AAAD//wMAUEsDBBQA&#10;BgAIAAAAIQDSH0lY3AAAAAgBAAAPAAAAZHJzL2Rvd25yZXYueG1sTI9Ba8MwDIXvg/0Ho8Iuo3Ua&#10;WAlZnNIVdhuFdWPsqMRqEhrLwXab9N/P2WW7SXqPp+8V28n04krOd5YVrFcJCOLa6o4bBZ8fr8sM&#10;hA/IGnvLpOBGHrbl/V2BubYjv9P1GBoRQ9jnqKANYcil9HVLBv3KDsRRO1lnMMTVNVI7HGO46WWa&#10;JBtpsOP4ocWB9i3V5+PFKKjxsD/g6UuOGL53L4/V2801mVIPi2n3DCLQFP7MMONHdCgjU2UvrL3o&#10;FSzXaRqt8wBi1p82WSxX/R5kWcj/BcofAAAA//8DAFBLAQItABQABgAIAAAAIQC2gziS/gAAAOEB&#10;AAATAAAAAAAAAAAAAAAAAAAAAABbQ29udGVudF9UeXBlc10ueG1sUEsBAi0AFAAGAAgAAAAhADj9&#10;If/WAAAAlAEAAAsAAAAAAAAAAAAAAAAALwEAAF9yZWxzLy5yZWxzUEsBAi0AFAAGAAgAAAAhABYN&#10;f6cUAgAAKgQAAA4AAAAAAAAAAAAAAAAALgIAAGRycy9lMm9Eb2MueG1sUEsBAi0AFAAGAAgAAAAh&#10;ANIfSVjcAAAACAEAAA8AAAAAAAAAAAAAAAAAbgQAAGRycy9kb3ducmV2LnhtbFBLBQYAAAAABAAE&#10;APMAAAB3BQAAAAA=&#10;" o:allowincell="f" strokeweight="2.25pt"/>
                  </w:pict>
                </mc:Fallback>
              </mc:AlternateContent>
            </w:r>
          </w:p>
          <w:p w:rsidR="00F653A5" w:rsidRDefault="00F00952" w:rsidP="00CF2AFE">
            <w:pPr>
              <w:pStyle w:val="Title"/>
              <w:spacing w:line="240" w:lineRule="auto"/>
              <w:rPr>
                <w:rFonts w:ascii="Arial" w:hAnsi="Arial"/>
                <w:b/>
                <w:caps/>
                <w:sz w:val="32"/>
              </w:rPr>
            </w:pPr>
            <w:r w:rsidRPr="00F00952">
              <w:rPr>
                <w:noProof/>
                <w:sz w:val="160"/>
                <w:szCs w:val="22"/>
                <w:lang w:eastAsia="en-AU"/>
              </w:rPr>
              <w:drawing>
                <wp:anchor distT="0" distB="0" distL="114300" distR="114300" simplePos="0" relativeHeight="251658240" behindDoc="0" locked="0" layoutInCell="1" allowOverlap="1" wp14:anchorId="072B45E8" wp14:editId="22259892">
                  <wp:simplePos x="0" y="0"/>
                  <wp:positionH relativeFrom="column">
                    <wp:posOffset>6483350</wp:posOffset>
                  </wp:positionH>
                  <wp:positionV relativeFrom="paragraph">
                    <wp:posOffset>149225</wp:posOffset>
                  </wp:positionV>
                  <wp:extent cx="925195" cy="1016000"/>
                  <wp:effectExtent l="0" t="0" r="8255" b="0"/>
                  <wp:wrapSquare wrapText="bothSides"/>
                  <wp:docPr id="8" name="Picture 8"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3A5" w:rsidRPr="00F00952">
              <w:rPr>
                <w:rFonts w:ascii="Arial" w:hAnsi="Arial"/>
                <w:b/>
                <w:caps/>
                <w:sz w:val="40"/>
                <w:szCs w:val="22"/>
              </w:rPr>
              <w:t>Australian Geomechanics Society</w:t>
            </w:r>
          </w:p>
          <w:p w:rsidR="00CF2AFE" w:rsidRDefault="00CF2AFE" w:rsidP="00CF2AFE">
            <w:pPr>
              <w:pStyle w:val="Title"/>
              <w:spacing w:line="240" w:lineRule="auto"/>
              <w:rPr>
                <w:rFonts w:ascii="Arial" w:hAnsi="Arial"/>
                <w:sz w:val="32"/>
              </w:rPr>
            </w:pPr>
          </w:p>
          <w:p w:rsidR="00F653A5" w:rsidRPr="00F00952" w:rsidRDefault="00F653A5" w:rsidP="00CF2AFE">
            <w:pPr>
              <w:pStyle w:val="Title"/>
              <w:spacing w:line="240" w:lineRule="auto"/>
              <w:rPr>
                <w:rFonts w:ascii="Arial" w:hAnsi="Arial"/>
                <w:sz w:val="40"/>
                <w:szCs w:val="22"/>
              </w:rPr>
            </w:pPr>
            <w:r w:rsidRPr="00F00952">
              <w:rPr>
                <w:rFonts w:ascii="Arial" w:hAnsi="Arial"/>
                <w:sz w:val="40"/>
                <w:szCs w:val="22"/>
              </w:rPr>
              <w:t>VICTORIA CHAPTER</w:t>
            </w:r>
          </w:p>
          <w:p w:rsidR="00F653A5" w:rsidRDefault="00F653A5">
            <w:pPr>
              <w:widowControl/>
              <w:rPr>
                <w:sz w:val="16"/>
              </w:rPr>
            </w:pPr>
          </w:p>
        </w:tc>
      </w:tr>
    </w:tbl>
    <w:p w:rsidR="00F653A5" w:rsidRPr="009C264B" w:rsidRDefault="004B7240">
      <w:pPr>
        <w:jc w:val="center"/>
        <w:rPr>
          <w:b/>
          <w:bCs/>
          <w:sz w:val="40"/>
          <w:szCs w:val="21"/>
        </w:rPr>
      </w:pPr>
      <w:r w:rsidRPr="009C264B">
        <w:rPr>
          <w:b/>
          <w:noProof/>
          <w:sz w:val="28"/>
          <w:szCs w:val="16"/>
          <w:lang w:val="en-AU" w:eastAsia="en-AU"/>
        </w:rPr>
        <mc:AlternateContent>
          <mc:Choice Requires="wps">
            <w:drawing>
              <wp:anchor distT="0" distB="0" distL="114300" distR="114300" simplePos="0" relativeHeight="251655168" behindDoc="0" locked="0" layoutInCell="0" allowOverlap="1" wp14:anchorId="36C34695" wp14:editId="7C7789FB">
                <wp:simplePos x="0" y="0"/>
                <wp:positionH relativeFrom="column">
                  <wp:posOffset>-77190</wp:posOffset>
                </wp:positionH>
                <wp:positionV relativeFrom="paragraph">
                  <wp:posOffset>17673</wp:posOffset>
                </wp:positionV>
                <wp:extent cx="10034650" cy="0"/>
                <wp:effectExtent l="0" t="19050" r="508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4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4pt" to="78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Wh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MsTaf5fAaq0cGZkGLINNb5z1x3KBgllkA6IpPjs/OBCSmGkHCR0hsh&#10;ZVRbKtSXeLKYPcxihtNSsOANcc7ud5W06EjCwMQv1gWe+zCrD4pFtJYTtr7angh5seF2qQIeFAN8&#10;rtZlIn48po/rxXqRj/LJfD3K07oefdpU+Wi+yR5m9bSuqjr7GahledEKxrgK7IbpzPK/U//6Ti5z&#10;dZvPWx+S9+ixYUB2+EfSUc0g4GUUdpqdt3ZQGQYyBl8fT5j4+z3Y90989QsAAP//AwBQSwMEFAAG&#10;AAgAAAAhADsCNpLcAAAACAEAAA8AAABkcnMvZG93bnJldi54bWxMj8FqwzAQRO+F/oPYQC8lkW1o&#10;MK7lkAZ6K4GmpfS4tja2ibUykhI7f1+ll/a4M8Psm3Izm0FcyPnesoJ0lYAgbqzuuVXw+fG6zEH4&#10;gKxxsEwKruRhU93flVhoO/E7XQ6hFbGEfYEKuhDGQkrfdGTQr+xIHL2jdQZDPF0rtcMplptBZkmy&#10;lgZ7jh86HGnXUXM6nI2CBve7PR6/5IThe/vyWL9dXZsr9bCYt88gAs3hLww3/IgOVWSq7Zm1F4OC&#10;ZZplMaogiwtu/tM6T0HUv4KsSvl/QPUDAAD//wMAUEsBAi0AFAAGAAgAAAAhALaDOJL+AAAA4QEA&#10;ABMAAAAAAAAAAAAAAAAAAAAAAFtDb250ZW50X1R5cGVzXS54bWxQSwECLQAUAAYACAAAACEAOP0h&#10;/9YAAACUAQAACwAAAAAAAAAAAAAAAAAvAQAAX3JlbHMvLnJlbHNQSwECLQAUAAYACAAAACEAR+y1&#10;oRMCAAAqBAAADgAAAAAAAAAAAAAAAAAuAgAAZHJzL2Uyb0RvYy54bWxQSwECLQAUAAYACAAAACEA&#10;OwI2ktwAAAAIAQAADwAAAAAAAAAAAAAAAABtBAAAZHJzL2Rvd25yZXYueG1sUEsFBgAAAAAEAAQA&#10;8wAAAHYFAAAAAA==&#10;" o:allowincell="f" strokeweight="2.25pt"/>
            </w:pict>
          </mc:Fallback>
        </mc:AlternateContent>
      </w:r>
    </w:p>
    <w:p w:rsidR="00F653A5" w:rsidRPr="009C264B" w:rsidRDefault="009C264B">
      <w:pPr>
        <w:pStyle w:val="Heading6"/>
        <w:ind w:right="-618"/>
        <w:rPr>
          <w:rFonts w:ascii="Arial" w:hAnsi="Arial"/>
          <w:bCs/>
          <w:sz w:val="36"/>
          <w:szCs w:val="24"/>
        </w:rPr>
      </w:pPr>
      <w:r w:rsidRPr="009C264B">
        <w:rPr>
          <w:rFonts w:ascii="Arial" w:hAnsi="Arial"/>
          <w:bCs/>
          <w:sz w:val="36"/>
          <w:szCs w:val="24"/>
        </w:rPr>
        <w:t xml:space="preserve">LVGG </w:t>
      </w:r>
      <w:r w:rsidR="00F653A5" w:rsidRPr="009C264B">
        <w:rPr>
          <w:rFonts w:ascii="Arial" w:hAnsi="Arial"/>
          <w:bCs/>
          <w:sz w:val="36"/>
          <w:szCs w:val="24"/>
        </w:rPr>
        <w:t>Technical Meeting:</w:t>
      </w:r>
    </w:p>
    <w:p w:rsidR="00F653A5" w:rsidRDefault="00F653A5">
      <w:pPr>
        <w:jc w:val="center"/>
      </w:pPr>
    </w:p>
    <w:p w:rsidR="00377030" w:rsidRDefault="00377030" w:rsidP="00377030">
      <w:pPr>
        <w:jc w:val="center"/>
        <w:rPr>
          <w:rFonts w:cs="Times New Roman"/>
          <w:b/>
          <w:color w:val="943634" w:themeColor="accent2" w:themeShade="BF"/>
          <w:sz w:val="72"/>
          <w:szCs w:val="36"/>
          <w:lang w:val="en-AU"/>
        </w:rPr>
      </w:pPr>
      <w:r w:rsidRPr="00377030">
        <w:rPr>
          <w:rFonts w:cs="Times New Roman"/>
          <w:b/>
          <w:color w:val="943634" w:themeColor="accent2" w:themeShade="BF"/>
          <w:sz w:val="72"/>
          <w:szCs w:val="36"/>
          <w:lang w:val="en-AU"/>
        </w:rPr>
        <w:t xml:space="preserve">Landslides, Risk Concepts </w:t>
      </w:r>
    </w:p>
    <w:p w:rsidR="00F653A5" w:rsidRPr="00616D79" w:rsidRDefault="00377030" w:rsidP="00377030">
      <w:pPr>
        <w:jc w:val="center"/>
        <w:rPr>
          <w:b/>
        </w:rPr>
      </w:pPr>
      <w:r w:rsidRPr="00377030">
        <w:rPr>
          <w:rFonts w:cs="Times New Roman"/>
          <w:b/>
          <w:color w:val="943634" w:themeColor="accent2" w:themeShade="BF"/>
          <w:sz w:val="72"/>
          <w:szCs w:val="36"/>
          <w:lang w:val="en-AU"/>
        </w:rPr>
        <w:t>and Case Studies</w:t>
      </w:r>
    </w:p>
    <w:p w:rsidR="00F653A5" w:rsidRPr="00616D79" w:rsidRDefault="00F653A5">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3101"/>
      </w:tblGrid>
      <w:tr w:rsidR="009C264B" w:rsidTr="009C264B">
        <w:trPr>
          <w:trHeight w:val="877"/>
        </w:trPr>
        <w:tc>
          <w:tcPr>
            <w:tcW w:w="2183" w:type="dxa"/>
          </w:tcPr>
          <w:p w:rsidR="009C264B" w:rsidRPr="009C264B" w:rsidRDefault="009C264B" w:rsidP="009C264B">
            <w:pPr>
              <w:rPr>
                <w:b/>
                <w:color w:val="943634" w:themeColor="accent2" w:themeShade="BF"/>
                <w:sz w:val="22"/>
                <w:szCs w:val="22"/>
              </w:rPr>
            </w:pPr>
            <w:r w:rsidRPr="009C264B">
              <w:rPr>
                <w:b/>
                <w:color w:val="943634" w:themeColor="accent2" w:themeShade="BF"/>
                <w:sz w:val="22"/>
                <w:szCs w:val="22"/>
              </w:rPr>
              <w:t>Presenter:</w:t>
            </w:r>
          </w:p>
        </w:tc>
        <w:tc>
          <w:tcPr>
            <w:tcW w:w="13101" w:type="dxa"/>
          </w:tcPr>
          <w:p w:rsidR="00377030" w:rsidRPr="00377030" w:rsidRDefault="00377030" w:rsidP="00377030">
            <w:pPr>
              <w:rPr>
                <w:b/>
                <w:color w:val="943634" w:themeColor="accent2" w:themeShade="BF"/>
                <w:sz w:val="24"/>
                <w:szCs w:val="24"/>
              </w:rPr>
            </w:pPr>
            <w:r w:rsidRPr="00377030">
              <w:rPr>
                <w:b/>
                <w:color w:val="943634" w:themeColor="accent2" w:themeShade="BF"/>
                <w:sz w:val="24"/>
                <w:szCs w:val="24"/>
              </w:rPr>
              <w:t xml:space="preserve">Anthony </w:t>
            </w:r>
            <w:r>
              <w:rPr>
                <w:b/>
                <w:color w:val="943634" w:themeColor="accent2" w:themeShade="BF"/>
                <w:sz w:val="24"/>
                <w:szCs w:val="24"/>
              </w:rPr>
              <w:t xml:space="preserve">(Tony) </w:t>
            </w:r>
            <w:r w:rsidRPr="00377030">
              <w:rPr>
                <w:b/>
                <w:color w:val="943634" w:themeColor="accent2" w:themeShade="BF"/>
                <w:sz w:val="24"/>
                <w:szCs w:val="24"/>
              </w:rPr>
              <w:t>Miner</w:t>
            </w:r>
          </w:p>
          <w:p w:rsidR="009C264B" w:rsidRPr="009C264B" w:rsidRDefault="00377030" w:rsidP="00377030">
            <w:pPr>
              <w:rPr>
                <w:bCs/>
                <w:color w:val="000000"/>
              </w:rPr>
            </w:pPr>
            <w:r w:rsidRPr="00377030">
              <w:rPr>
                <w:bCs/>
                <w:color w:val="000000"/>
              </w:rPr>
              <w:t>Principal Geotechnical Engineer</w:t>
            </w:r>
            <w:r>
              <w:rPr>
                <w:bCs/>
                <w:color w:val="000000"/>
              </w:rPr>
              <w:t xml:space="preserve"> | </w:t>
            </w:r>
            <w:r w:rsidRPr="00377030">
              <w:rPr>
                <w:bCs/>
                <w:color w:val="000000"/>
              </w:rPr>
              <w:t>A.S. Miner Geotechnical</w:t>
            </w:r>
            <w:r>
              <w:rPr>
                <w:bCs/>
                <w:color w:val="000000"/>
              </w:rPr>
              <w:t xml:space="preserve"> </w:t>
            </w:r>
            <w:r w:rsidRPr="00377030">
              <w:rPr>
                <w:bCs/>
                <w:color w:val="000000"/>
              </w:rPr>
              <w:t>Consulting Engineers</w:t>
            </w:r>
          </w:p>
          <w:p w:rsidR="009C264B" w:rsidRDefault="009C264B" w:rsidP="009C264B">
            <w:pPr>
              <w:rPr>
                <w:bCs/>
                <w:color w:val="000000"/>
              </w:rPr>
            </w:pPr>
          </w:p>
        </w:tc>
      </w:tr>
      <w:tr w:rsidR="009C264B" w:rsidTr="009C264B">
        <w:trPr>
          <w:trHeight w:val="3007"/>
        </w:trPr>
        <w:tc>
          <w:tcPr>
            <w:tcW w:w="2183" w:type="dxa"/>
          </w:tcPr>
          <w:p w:rsidR="009C264B" w:rsidRPr="009C264B" w:rsidRDefault="009C264B" w:rsidP="009C264B">
            <w:pPr>
              <w:rPr>
                <w:b/>
                <w:color w:val="943634" w:themeColor="accent2" w:themeShade="BF"/>
                <w:sz w:val="22"/>
                <w:szCs w:val="22"/>
              </w:rPr>
            </w:pPr>
            <w:r w:rsidRPr="009C264B">
              <w:rPr>
                <w:b/>
                <w:color w:val="943634" w:themeColor="accent2" w:themeShade="BF"/>
                <w:sz w:val="22"/>
                <w:szCs w:val="22"/>
              </w:rPr>
              <w:t xml:space="preserve">Topic:   </w:t>
            </w:r>
          </w:p>
        </w:tc>
        <w:tc>
          <w:tcPr>
            <w:tcW w:w="13101" w:type="dxa"/>
          </w:tcPr>
          <w:p w:rsidR="009C264B" w:rsidRDefault="00377030" w:rsidP="00377030">
            <w:pPr>
              <w:rPr>
                <w:b/>
                <w:color w:val="943634" w:themeColor="accent2" w:themeShade="BF"/>
                <w:sz w:val="22"/>
                <w:szCs w:val="22"/>
              </w:rPr>
            </w:pPr>
            <w:r w:rsidRPr="00377030">
              <w:rPr>
                <w:b/>
                <w:color w:val="943634" w:themeColor="accent2" w:themeShade="BF"/>
                <w:sz w:val="22"/>
                <w:szCs w:val="22"/>
              </w:rPr>
              <w:t xml:space="preserve">Landslides, Risk Concepts and Case Studies </w:t>
            </w:r>
          </w:p>
          <w:p w:rsidR="00377030" w:rsidRPr="00377030" w:rsidRDefault="00377030" w:rsidP="00377030">
            <w:pPr>
              <w:rPr>
                <w:b/>
                <w:color w:val="943634" w:themeColor="accent2" w:themeShade="BF"/>
                <w:sz w:val="22"/>
                <w:szCs w:val="22"/>
              </w:rPr>
            </w:pPr>
          </w:p>
          <w:p w:rsidR="00377030" w:rsidRDefault="00377030" w:rsidP="009C264B">
            <w:pPr>
              <w:rPr>
                <w:bCs/>
                <w:color w:val="000000"/>
                <w:sz w:val="22"/>
                <w:szCs w:val="22"/>
              </w:rPr>
            </w:pPr>
            <w:r w:rsidRPr="00377030">
              <w:rPr>
                <w:bCs/>
                <w:color w:val="000000"/>
                <w:sz w:val="22"/>
                <w:szCs w:val="22"/>
              </w:rPr>
              <w:t xml:space="preserve">The presentation includes an overview of landslide types, mechanisms and discusses the role of preparatory factors and triggering causes in landslide occurrence. </w:t>
            </w:r>
          </w:p>
          <w:p w:rsidR="00377030" w:rsidRDefault="00377030" w:rsidP="009C264B">
            <w:pPr>
              <w:rPr>
                <w:bCs/>
                <w:color w:val="000000"/>
                <w:sz w:val="22"/>
                <w:szCs w:val="22"/>
              </w:rPr>
            </w:pPr>
          </w:p>
          <w:p w:rsidR="00377030" w:rsidRDefault="00377030" w:rsidP="009C264B">
            <w:pPr>
              <w:rPr>
                <w:bCs/>
                <w:color w:val="000000"/>
                <w:sz w:val="22"/>
                <w:szCs w:val="22"/>
              </w:rPr>
            </w:pPr>
            <w:r w:rsidRPr="00377030">
              <w:rPr>
                <w:bCs/>
                <w:color w:val="000000"/>
                <w:sz w:val="22"/>
                <w:szCs w:val="22"/>
              </w:rPr>
              <w:t xml:space="preserve">A brief history of Landslide Risk Management (LRM) in Australia is provided as background to a discussion of the Australian Geomechanics Society’s (AGS) 2000 and 2007 LRM Guidelines. A discussion of risk concepts and the AGS risk process is then provided with comment on implications for both regulators and practitioners. </w:t>
            </w:r>
          </w:p>
          <w:p w:rsidR="00377030" w:rsidRDefault="00377030" w:rsidP="009C264B">
            <w:pPr>
              <w:rPr>
                <w:bCs/>
                <w:color w:val="000000"/>
                <w:sz w:val="22"/>
                <w:szCs w:val="22"/>
              </w:rPr>
            </w:pPr>
          </w:p>
          <w:p w:rsidR="009C264B" w:rsidRDefault="00377030" w:rsidP="00955DE9">
            <w:pPr>
              <w:rPr>
                <w:bCs/>
                <w:color w:val="000000"/>
              </w:rPr>
            </w:pPr>
            <w:r w:rsidRPr="00377030">
              <w:rPr>
                <w:bCs/>
                <w:color w:val="000000"/>
                <w:sz w:val="22"/>
                <w:szCs w:val="22"/>
              </w:rPr>
              <w:t>Finally a series of case studies and examples are p</w:t>
            </w:r>
            <w:r w:rsidR="00955DE9">
              <w:rPr>
                <w:bCs/>
                <w:color w:val="000000"/>
                <w:sz w:val="22"/>
                <w:szCs w:val="22"/>
              </w:rPr>
              <w:t>rovided to highlight key issues</w:t>
            </w:r>
            <w:r w:rsidRPr="00377030">
              <w:rPr>
                <w:bCs/>
                <w:color w:val="000000"/>
                <w:sz w:val="22"/>
                <w:szCs w:val="22"/>
              </w:rPr>
              <w:t xml:space="preserve">.  </w:t>
            </w:r>
          </w:p>
        </w:tc>
      </w:tr>
      <w:tr w:rsidR="009C264B" w:rsidTr="009C264B">
        <w:trPr>
          <w:trHeight w:val="3784"/>
        </w:trPr>
        <w:tc>
          <w:tcPr>
            <w:tcW w:w="2183" w:type="dxa"/>
          </w:tcPr>
          <w:p w:rsidR="009C264B" w:rsidRPr="009C264B" w:rsidRDefault="009C264B" w:rsidP="009C264B">
            <w:pPr>
              <w:rPr>
                <w:b/>
                <w:color w:val="943634" w:themeColor="accent2" w:themeShade="BF"/>
                <w:sz w:val="22"/>
                <w:szCs w:val="22"/>
              </w:rPr>
            </w:pPr>
            <w:r w:rsidRPr="009C264B">
              <w:rPr>
                <w:b/>
                <w:color w:val="943634" w:themeColor="accent2" w:themeShade="BF"/>
                <w:sz w:val="22"/>
                <w:szCs w:val="22"/>
              </w:rPr>
              <w:t>Speaker Bio</w:t>
            </w:r>
          </w:p>
        </w:tc>
        <w:tc>
          <w:tcPr>
            <w:tcW w:w="13101" w:type="dxa"/>
          </w:tcPr>
          <w:p w:rsidR="00377030" w:rsidRPr="00377030" w:rsidRDefault="00377030" w:rsidP="00377030">
            <w:pPr>
              <w:rPr>
                <w:bCs/>
                <w:color w:val="000000"/>
                <w:sz w:val="22"/>
                <w:szCs w:val="22"/>
              </w:rPr>
            </w:pPr>
            <w:r w:rsidRPr="00377030">
              <w:rPr>
                <w:bCs/>
                <w:color w:val="000000"/>
                <w:sz w:val="22"/>
                <w:szCs w:val="22"/>
              </w:rPr>
              <w:t>Tony Miner graduated as a Civil Engineer from Deakin University in 1978 and later gained a Masters degree in engineering geology at the University of Ballarat. He has experience in a diverse range of projects in the geotechnical engineering and environmental fields and is currently Principal Geotechnical Engineer with A.S.Miner Geotechnical.</w:t>
            </w:r>
          </w:p>
          <w:p w:rsidR="00377030" w:rsidRPr="00377030" w:rsidRDefault="00377030" w:rsidP="00377030">
            <w:pPr>
              <w:rPr>
                <w:bCs/>
                <w:color w:val="000000"/>
                <w:sz w:val="22"/>
                <w:szCs w:val="22"/>
              </w:rPr>
            </w:pPr>
          </w:p>
          <w:p w:rsidR="00377030" w:rsidRPr="00377030" w:rsidRDefault="00377030" w:rsidP="00377030">
            <w:pPr>
              <w:rPr>
                <w:bCs/>
                <w:color w:val="000000"/>
                <w:sz w:val="22"/>
                <w:szCs w:val="22"/>
              </w:rPr>
            </w:pPr>
            <w:r w:rsidRPr="00377030">
              <w:rPr>
                <w:bCs/>
                <w:color w:val="000000"/>
                <w:sz w:val="22"/>
                <w:szCs w:val="22"/>
              </w:rPr>
              <w:t>His focus over the past 15 years has been on risk management and landslides studies principally in the South Western Victoria area from the Bellarine Peninsula to Portland. He has also been involved with landslide studies, planning reviews and monitoring programs in Wollongong (NSW) and Tasmania.</w:t>
            </w:r>
          </w:p>
          <w:p w:rsidR="00377030" w:rsidRPr="00377030" w:rsidRDefault="00377030" w:rsidP="00377030">
            <w:pPr>
              <w:rPr>
                <w:bCs/>
                <w:color w:val="000000"/>
                <w:sz w:val="22"/>
                <w:szCs w:val="22"/>
              </w:rPr>
            </w:pPr>
          </w:p>
          <w:p w:rsidR="00377030" w:rsidRPr="00377030" w:rsidRDefault="00377030" w:rsidP="00377030">
            <w:pPr>
              <w:rPr>
                <w:bCs/>
                <w:color w:val="000000"/>
                <w:sz w:val="22"/>
                <w:szCs w:val="22"/>
              </w:rPr>
            </w:pPr>
            <w:r w:rsidRPr="00377030">
              <w:rPr>
                <w:bCs/>
                <w:color w:val="000000"/>
                <w:sz w:val="22"/>
                <w:szCs w:val="22"/>
              </w:rPr>
              <w:t>He has contributed to erosion management and planning studies for several local authorities as part of the Corangamite Catchment Management Authority’s regional soil health strategy and was engaged to produce landslide and erosion inventories and regional susceptibility maps for the area which he has since helped to integrate into planning control overlays for the Otways and SW Victoria.</w:t>
            </w:r>
          </w:p>
          <w:p w:rsidR="00377030" w:rsidRPr="00377030" w:rsidRDefault="00377030" w:rsidP="00377030">
            <w:pPr>
              <w:rPr>
                <w:bCs/>
                <w:color w:val="000000"/>
                <w:sz w:val="22"/>
                <w:szCs w:val="22"/>
              </w:rPr>
            </w:pPr>
          </w:p>
          <w:p w:rsidR="00377030" w:rsidRPr="00377030" w:rsidRDefault="00377030" w:rsidP="00377030">
            <w:pPr>
              <w:rPr>
                <w:bCs/>
                <w:color w:val="000000"/>
                <w:sz w:val="22"/>
                <w:szCs w:val="22"/>
              </w:rPr>
            </w:pPr>
            <w:r w:rsidRPr="00377030">
              <w:rPr>
                <w:bCs/>
                <w:color w:val="000000"/>
                <w:sz w:val="22"/>
                <w:szCs w:val="22"/>
              </w:rPr>
              <w:t>Tony is actively involved in landslide research through formal associations with both The University of Ballarat and The University of Wollongong and he has published a number of landslide and risk related conference papers. He was a member of the 2007 Australian Geomechanics Society’s NDMP Landslide Taskforce (for Landslide Risk Management) and a member of the working groups which prepared the ‘Guideline for Landslide Susceptibility, Hazard and Risk Zoning for Land Use Planning’ and ‘The Australian GeoGuides for Slope Management and Maintenance’.</w:t>
            </w:r>
          </w:p>
          <w:p w:rsidR="00377030" w:rsidRPr="00377030" w:rsidRDefault="00377030" w:rsidP="00377030">
            <w:pPr>
              <w:rPr>
                <w:bCs/>
                <w:color w:val="000000"/>
                <w:sz w:val="22"/>
                <w:szCs w:val="22"/>
              </w:rPr>
            </w:pPr>
          </w:p>
          <w:p w:rsidR="009C264B" w:rsidRDefault="00377030" w:rsidP="00377030">
            <w:pPr>
              <w:rPr>
                <w:bCs/>
                <w:color w:val="000000"/>
              </w:rPr>
            </w:pPr>
            <w:r w:rsidRPr="00377030">
              <w:rPr>
                <w:bCs/>
                <w:color w:val="000000"/>
                <w:sz w:val="22"/>
                <w:szCs w:val="22"/>
              </w:rPr>
              <w:t>Tony co-presented the AGS National Seminar Series on Landslide Risk Management in 2011 which was held in 9 state capitals and cities around Australia and was a key program developer and one of the main presenters for the AGS sponsored course “Field Techniques for Landslide Assessment” which was held in Melbourne in November 2014. He has also been recently invited to chair the upcoming AGS Technical Committee on Landslides.</w:t>
            </w:r>
          </w:p>
        </w:tc>
      </w:tr>
    </w:tbl>
    <w:p w:rsidR="00F653A5" w:rsidRPr="009C264B" w:rsidRDefault="00F653A5" w:rsidP="00377030">
      <w:pPr>
        <w:jc w:val="center"/>
        <w:rPr>
          <w:b/>
          <w:sz w:val="72"/>
          <w:szCs w:val="36"/>
        </w:rPr>
      </w:pPr>
      <w:r w:rsidRPr="00616D79">
        <w:rPr>
          <w:sz w:val="24"/>
        </w:rPr>
        <w:br/>
      </w:r>
      <w:r w:rsidR="00377030">
        <w:rPr>
          <w:b/>
          <w:sz w:val="72"/>
          <w:szCs w:val="36"/>
        </w:rPr>
        <w:t xml:space="preserve">Tuesday </w:t>
      </w:r>
      <w:r w:rsidR="009C264B" w:rsidRPr="009C264B">
        <w:rPr>
          <w:b/>
          <w:sz w:val="72"/>
          <w:szCs w:val="36"/>
        </w:rPr>
        <w:t xml:space="preserve">13 </w:t>
      </w:r>
      <w:r w:rsidR="00377030">
        <w:rPr>
          <w:b/>
          <w:sz w:val="72"/>
          <w:szCs w:val="36"/>
        </w:rPr>
        <w:t xml:space="preserve">October </w:t>
      </w:r>
      <w:r w:rsidR="009C264B">
        <w:rPr>
          <w:b/>
          <w:sz w:val="72"/>
          <w:szCs w:val="36"/>
        </w:rPr>
        <w:t>2015</w:t>
      </w:r>
    </w:p>
    <w:p w:rsidR="00F653A5" w:rsidRPr="009C264B" w:rsidRDefault="00F653A5" w:rsidP="00377030">
      <w:pPr>
        <w:rPr>
          <w:color w:val="000000"/>
          <w:sz w:val="36"/>
          <w:szCs w:val="36"/>
        </w:rPr>
      </w:pPr>
      <w:r w:rsidRPr="009C264B">
        <w:rPr>
          <w:sz w:val="36"/>
          <w:szCs w:val="36"/>
        </w:rPr>
        <w:br/>
      </w:r>
      <w:r w:rsidRPr="009C264B">
        <w:rPr>
          <w:b/>
          <w:color w:val="000000"/>
          <w:sz w:val="36"/>
          <w:szCs w:val="36"/>
        </w:rPr>
        <w:t>Time:</w:t>
      </w:r>
      <w:r w:rsidRPr="009C264B">
        <w:rPr>
          <w:color w:val="000000"/>
          <w:sz w:val="36"/>
          <w:szCs w:val="36"/>
        </w:rPr>
        <w:tab/>
      </w:r>
      <w:r w:rsidRPr="009C264B">
        <w:rPr>
          <w:color w:val="000000"/>
          <w:sz w:val="36"/>
          <w:szCs w:val="36"/>
        </w:rPr>
        <w:tab/>
      </w:r>
      <w:r w:rsidR="009C264B">
        <w:rPr>
          <w:color w:val="000000"/>
          <w:sz w:val="36"/>
          <w:szCs w:val="36"/>
        </w:rPr>
        <w:tab/>
      </w:r>
      <w:r w:rsidR="00377030">
        <w:rPr>
          <w:color w:val="000000"/>
          <w:sz w:val="36"/>
          <w:szCs w:val="36"/>
        </w:rPr>
        <w:t>4</w:t>
      </w:r>
      <w:r w:rsidR="009C264B" w:rsidRPr="009C264B">
        <w:rPr>
          <w:color w:val="000000"/>
          <w:sz w:val="36"/>
          <w:szCs w:val="36"/>
        </w:rPr>
        <w:t>:00pm</w:t>
      </w:r>
      <w:r w:rsidRPr="009C264B">
        <w:rPr>
          <w:color w:val="000000"/>
          <w:sz w:val="36"/>
          <w:szCs w:val="36"/>
        </w:rPr>
        <w:t xml:space="preserve"> (with </w:t>
      </w:r>
      <w:r w:rsidR="009C264B" w:rsidRPr="009C264B">
        <w:rPr>
          <w:color w:val="000000"/>
          <w:sz w:val="36"/>
          <w:szCs w:val="36"/>
        </w:rPr>
        <w:t xml:space="preserve">light </w:t>
      </w:r>
      <w:r w:rsidRPr="009C264B">
        <w:rPr>
          <w:color w:val="000000"/>
          <w:sz w:val="36"/>
          <w:szCs w:val="36"/>
        </w:rPr>
        <w:t xml:space="preserve">refreshments) </w:t>
      </w:r>
    </w:p>
    <w:p w:rsidR="00F653A5" w:rsidRPr="009C264B" w:rsidRDefault="00F653A5">
      <w:pPr>
        <w:rPr>
          <w:color w:val="000000"/>
          <w:sz w:val="36"/>
          <w:szCs w:val="36"/>
        </w:rPr>
      </w:pPr>
    </w:p>
    <w:p w:rsidR="00F653A5" w:rsidRPr="009C264B" w:rsidRDefault="00F653A5" w:rsidP="009C264B">
      <w:pPr>
        <w:pStyle w:val="Subtitle"/>
        <w:jc w:val="left"/>
        <w:rPr>
          <w:rFonts w:ascii="Arial" w:hAnsi="Arial"/>
          <w:b w:val="0"/>
          <w:color w:val="000000"/>
          <w:sz w:val="36"/>
          <w:szCs w:val="36"/>
        </w:rPr>
      </w:pPr>
      <w:r w:rsidRPr="009C264B">
        <w:rPr>
          <w:rFonts w:ascii="Arial" w:hAnsi="Arial"/>
          <w:color w:val="000000"/>
          <w:sz w:val="36"/>
          <w:szCs w:val="36"/>
        </w:rPr>
        <w:t>Where:</w:t>
      </w:r>
      <w:r w:rsidRPr="009C264B">
        <w:rPr>
          <w:rFonts w:ascii="Arial" w:hAnsi="Arial"/>
          <w:color w:val="000000"/>
          <w:sz w:val="36"/>
          <w:szCs w:val="36"/>
        </w:rPr>
        <w:tab/>
      </w:r>
      <w:r w:rsidRPr="009C264B">
        <w:rPr>
          <w:rFonts w:ascii="Arial" w:hAnsi="Arial"/>
          <w:b w:val="0"/>
          <w:color w:val="000000"/>
          <w:sz w:val="36"/>
          <w:szCs w:val="36"/>
        </w:rPr>
        <w:tab/>
      </w:r>
      <w:r w:rsidR="009C264B">
        <w:rPr>
          <w:rFonts w:ascii="Arial" w:hAnsi="Arial"/>
          <w:b w:val="0"/>
          <w:color w:val="000000"/>
          <w:sz w:val="36"/>
          <w:szCs w:val="36"/>
        </w:rPr>
        <w:tab/>
      </w:r>
      <w:r w:rsidR="00955DE9">
        <w:rPr>
          <w:rFonts w:ascii="Arial" w:hAnsi="Arial"/>
          <w:b w:val="0"/>
          <w:color w:val="000000"/>
          <w:sz w:val="36"/>
          <w:szCs w:val="36"/>
        </w:rPr>
        <w:t>Room 3W238</w:t>
      </w:r>
      <w:r w:rsidR="009C264B" w:rsidRPr="009C264B">
        <w:rPr>
          <w:rFonts w:ascii="Arial" w:hAnsi="Arial"/>
          <w:b w:val="0"/>
          <w:color w:val="000000"/>
          <w:sz w:val="36"/>
          <w:szCs w:val="36"/>
        </w:rPr>
        <w:t xml:space="preserve"> | Federation University Gippsland</w:t>
      </w:r>
    </w:p>
    <w:p w:rsidR="009C264B" w:rsidRPr="009C264B" w:rsidRDefault="009C264B" w:rsidP="009C264B">
      <w:pPr>
        <w:pStyle w:val="Subtitle"/>
        <w:jc w:val="left"/>
        <w:rPr>
          <w:b w:val="0"/>
          <w:color w:val="000000"/>
          <w:sz w:val="52"/>
          <w:szCs w:val="36"/>
        </w:rPr>
      </w:pPr>
    </w:p>
    <w:p w:rsidR="00F653A5" w:rsidRPr="009C264B" w:rsidRDefault="00F653A5">
      <w:pPr>
        <w:rPr>
          <w:sz w:val="36"/>
          <w:szCs w:val="36"/>
        </w:rPr>
      </w:pPr>
      <w:r w:rsidRPr="009C264B">
        <w:rPr>
          <w:b/>
          <w:color w:val="000000"/>
          <w:sz w:val="36"/>
          <w:szCs w:val="36"/>
        </w:rPr>
        <w:t>Cost:</w:t>
      </w:r>
      <w:r w:rsidRPr="009C264B">
        <w:rPr>
          <w:b/>
          <w:color w:val="000000"/>
          <w:sz w:val="36"/>
          <w:szCs w:val="36"/>
        </w:rPr>
        <w:tab/>
      </w:r>
      <w:r w:rsidRPr="009C264B">
        <w:rPr>
          <w:b/>
          <w:color w:val="000000"/>
          <w:sz w:val="36"/>
          <w:szCs w:val="36"/>
        </w:rPr>
        <w:tab/>
      </w:r>
      <w:r w:rsidR="009C264B">
        <w:rPr>
          <w:b/>
          <w:color w:val="000000"/>
          <w:sz w:val="36"/>
          <w:szCs w:val="36"/>
        </w:rPr>
        <w:tab/>
      </w:r>
      <w:r w:rsidR="00F00952">
        <w:rPr>
          <w:b/>
          <w:color w:val="000000"/>
          <w:sz w:val="36"/>
          <w:szCs w:val="36"/>
        </w:rPr>
        <w:t xml:space="preserve">$0 - </w:t>
      </w:r>
      <w:r w:rsidRPr="009C264B">
        <w:rPr>
          <w:color w:val="000000"/>
          <w:sz w:val="36"/>
          <w:szCs w:val="36"/>
        </w:rPr>
        <w:t>Free, refreshments provided</w:t>
      </w:r>
      <w:r w:rsidRPr="009C264B">
        <w:rPr>
          <w:color w:val="000000"/>
          <w:sz w:val="36"/>
          <w:szCs w:val="36"/>
        </w:rPr>
        <w:br/>
      </w:r>
    </w:p>
    <w:p w:rsidR="00C979BD" w:rsidRPr="009C264B" w:rsidRDefault="00C979BD" w:rsidP="00F00952">
      <w:pPr>
        <w:ind w:left="1440" w:hanging="1440"/>
        <w:rPr>
          <w:b/>
          <w:bCs/>
          <w:sz w:val="32"/>
          <w:szCs w:val="32"/>
          <w:lang w:val="en-AU"/>
        </w:rPr>
      </w:pPr>
      <w:r w:rsidRPr="009C264B">
        <w:rPr>
          <w:b/>
          <w:bCs/>
          <w:sz w:val="36"/>
          <w:szCs w:val="36"/>
          <w:lang w:val="en-AU"/>
        </w:rPr>
        <w:t>Registrations:</w:t>
      </w:r>
      <w:r w:rsidRPr="009C264B">
        <w:rPr>
          <w:b/>
          <w:bCs/>
          <w:sz w:val="36"/>
          <w:szCs w:val="36"/>
          <w:lang w:val="en-AU"/>
        </w:rPr>
        <w:tab/>
      </w:r>
      <w:r w:rsidR="009C264B" w:rsidRPr="009C264B">
        <w:rPr>
          <w:b/>
          <w:color w:val="000000"/>
          <w:sz w:val="36"/>
          <w:szCs w:val="36"/>
        </w:rPr>
        <w:t>erica.matthews@federation.edu.au</w:t>
      </w:r>
      <w:r w:rsidR="009C264B" w:rsidRPr="009C264B">
        <w:rPr>
          <w:b/>
          <w:bCs/>
          <w:sz w:val="32"/>
          <w:szCs w:val="32"/>
        </w:rPr>
        <w:t xml:space="preserve"> </w:t>
      </w:r>
    </w:p>
    <w:p w:rsidR="00F653A5" w:rsidRPr="00616D79" w:rsidRDefault="00F653A5"/>
    <w:p w:rsidR="00F653A5" w:rsidRPr="00616D79" w:rsidRDefault="00F653A5">
      <w:pPr>
        <w:pStyle w:val="CommentText"/>
        <w:rPr>
          <w:rFonts w:ascii="Arial" w:hAnsi="Arial"/>
        </w:rPr>
      </w:pPr>
    </w:p>
    <w:p w:rsidR="00F653A5" w:rsidRPr="00616D79" w:rsidRDefault="00F653A5">
      <w:pPr>
        <w:ind w:right="-618"/>
        <w:rPr>
          <w:sz w:val="16"/>
        </w:rPr>
      </w:pPr>
    </w:p>
    <w:p w:rsidR="00F653A5" w:rsidRPr="00616D79" w:rsidRDefault="00F653A5">
      <w:pPr>
        <w:ind w:right="-618"/>
        <w:rPr>
          <w:sz w:val="16"/>
        </w:rPr>
      </w:pPr>
    </w:p>
    <w:p w:rsidR="00F653A5" w:rsidRPr="00616D79" w:rsidRDefault="00F653A5">
      <w:pPr>
        <w:ind w:right="-1"/>
        <w:jc w:val="center"/>
        <w:rPr>
          <w:b/>
          <w:sz w:val="28"/>
        </w:rPr>
      </w:pPr>
      <w:r w:rsidRPr="00616D79">
        <w:rPr>
          <w:b/>
          <w:sz w:val="28"/>
        </w:rPr>
        <w:t xml:space="preserve">PLEASE VISIT OUR WEBSITE: </w:t>
      </w:r>
      <w:hyperlink r:id="rId11" w:history="1">
        <w:r w:rsidRPr="00616D79">
          <w:rPr>
            <w:rStyle w:val="Hyperlink"/>
            <w:b/>
            <w:sz w:val="28"/>
          </w:rPr>
          <w:t>http://www.australiangeomechanics.org/</w:t>
        </w:r>
      </w:hyperlink>
    </w:p>
    <w:p w:rsidR="00F653A5" w:rsidRPr="00616D79" w:rsidRDefault="00F653A5">
      <w:pPr>
        <w:ind w:right="-1"/>
        <w:jc w:val="center"/>
        <w:rPr>
          <w:sz w:val="16"/>
        </w:rPr>
      </w:pPr>
    </w:p>
    <w:p w:rsidR="00F653A5" w:rsidRPr="00616D79" w:rsidRDefault="00F653A5" w:rsidP="009C264B">
      <w:pPr>
        <w:pStyle w:val="BodyText2"/>
        <w:ind w:right="-618"/>
        <w:jc w:val="center"/>
        <w:rPr>
          <w:i/>
          <w:sz w:val="20"/>
          <w:lang w:val="en-US"/>
        </w:rPr>
      </w:pPr>
      <w:r w:rsidRPr="00616D79">
        <w:rPr>
          <w:i/>
          <w:sz w:val="20"/>
          <w:lang w:val="en-US"/>
        </w:rPr>
        <w:t>Attendance at this seminar contributes towards the EA’s requirements for Continuing Professional Development</w:t>
      </w:r>
    </w:p>
    <w:p w:rsidR="00F653A5" w:rsidRPr="00616D79" w:rsidRDefault="00F653A5" w:rsidP="009C264B">
      <w:pPr>
        <w:ind w:right="-618"/>
        <w:jc w:val="center"/>
        <w:rPr>
          <w:sz w:val="6"/>
        </w:rPr>
      </w:pPr>
    </w:p>
    <w:tbl>
      <w:tblPr>
        <w:tblW w:w="0" w:type="auto"/>
        <w:jc w:val="center"/>
        <w:tblInd w:w="108" w:type="dxa"/>
        <w:tblBorders>
          <w:top w:val="single" w:sz="6" w:space="0" w:color="auto"/>
          <w:bottom w:val="single" w:sz="6" w:space="0" w:color="auto"/>
        </w:tblBorders>
        <w:tblLayout w:type="fixed"/>
        <w:tblLook w:val="0000" w:firstRow="0" w:lastRow="0" w:firstColumn="0" w:lastColumn="0" w:noHBand="0" w:noVBand="0"/>
      </w:tblPr>
      <w:tblGrid>
        <w:gridCol w:w="9639"/>
      </w:tblGrid>
      <w:tr w:rsidR="00F653A5" w:rsidRPr="00616D79" w:rsidTr="009C264B">
        <w:trPr>
          <w:cantSplit/>
          <w:jc w:val="center"/>
        </w:trPr>
        <w:tc>
          <w:tcPr>
            <w:tcW w:w="9639" w:type="dxa"/>
          </w:tcPr>
          <w:p w:rsidR="00F653A5" w:rsidRPr="00616D79" w:rsidRDefault="00F653A5" w:rsidP="00F00952">
            <w:pPr>
              <w:widowControl/>
              <w:jc w:val="center"/>
            </w:pPr>
            <w:r w:rsidRPr="00616D79">
              <w:rPr>
                <w:b/>
              </w:rPr>
              <w:t>Contact:</w:t>
            </w:r>
            <w:r w:rsidRPr="00616D79">
              <w:t xml:space="preserve">  </w:t>
            </w:r>
            <w:r w:rsidR="00C979BD" w:rsidRPr="00616D79">
              <w:t xml:space="preserve">Event Organiser: </w:t>
            </w:r>
            <w:r w:rsidR="00F00952">
              <w:rPr>
                <w:color w:val="FF0000"/>
              </w:rPr>
              <w:t>Erica Matthews  035122 8936</w:t>
            </w:r>
          </w:p>
        </w:tc>
      </w:tr>
    </w:tbl>
    <w:p w:rsidR="00C26864" w:rsidRPr="002833B0" w:rsidRDefault="00C26864" w:rsidP="002833B0">
      <w:pPr>
        <w:jc w:val="center"/>
        <w:rPr>
          <w:i/>
          <w:noProof/>
          <w:color w:val="1F497D"/>
          <w:sz w:val="18"/>
          <w:szCs w:val="22"/>
        </w:rPr>
      </w:pPr>
      <w:r w:rsidRPr="00616D79">
        <w:rPr>
          <w:i/>
          <w:sz w:val="18"/>
        </w:rPr>
        <w:t xml:space="preserve">If you no longer wish to receive AGS emails please unsubscribe to </w:t>
      </w:r>
      <w:hyperlink r:id="rId12" w:history="1">
        <w:r w:rsidRPr="00616D79">
          <w:rPr>
            <w:rStyle w:val="Hyperlink"/>
            <w:i/>
            <w:noProof/>
            <w:sz w:val="18"/>
            <w:szCs w:val="22"/>
          </w:rPr>
          <w:t>secretary@australiangeomechanics.org</w:t>
        </w:r>
      </w:hyperlink>
    </w:p>
    <w:sectPr w:rsidR="00C26864" w:rsidRPr="002833B0" w:rsidSect="009C264B">
      <w:footerReference w:type="default" r:id="rId13"/>
      <w:pgSz w:w="16839" w:h="23814" w:code="8"/>
      <w:pgMar w:top="720" w:right="720" w:bottom="720" w:left="720"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E1" w:rsidRDefault="008D07E1">
      <w:r>
        <w:separator/>
      </w:r>
    </w:p>
  </w:endnote>
  <w:endnote w:type="continuationSeparator" w:id="0">
    <w:p w:rsidR="008D07E1" w:rsidRDefault="008D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A5" w:rsidRDefault="00F6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E1" w:rsidRDefault="008D07E1">
      <w:r>
        <w:separator/>
      </w:r>
    </w:p>
  </w:footnote>
  <w:footnote w:type="continuationSeparator" w:id="0">
    <w:p w:rsidR="008D07E1" w:rsidRDefault="008D0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AA2"/>
    <w:multiLevelType w:val="hybridMultilevel"/>
    <w:tmpl w:val="0EA63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5667C"/>
    <w:multiLevelType w:val="hybridMultilevel"/>
    <w:tmpl w:val="FC68E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E4731"/>
    <w:multiLevelType w:val="hybridMultilevel"/>
    <w:tmpl w:val="D30882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0242AB9"/>
    <w:multiLevelType w:val="hybridMultilevel"/>
    <w:tmpl w:val="C1F20786"/>
    <w:lvl w:ilvl="0" w:tplc="5F244FD2">
      <w:start w:val="1"/>
      <w:numFmt w:val="decimal"/>
      <w:lvlText w:val="%1."/>
      <w:lvlJc w:val="left"/>
      <w:pPr>
        <w:tabs>
          <w:tab w:val="num" w:pos="1320"/>
        </w:tabs>
        <w:ind w:left="1320" w:hanging="9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7ED7833"/>
    <w:multiLevelType w:val="hybridMultilevel"/>
    <w:tmpl w:val="A33CA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84BB0"/>
    <w:multiLevelType w:val="hybridMultilevel"/>
    <w:tmpl w:val="DFD0B768"/>
    <w:lvl w:ilvl="0" w:tplc="04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46609CE"/>
    <w:multiLevelType w:val="hybridMultilevel"/>
    <w:tmpl w:val="8E200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380003"/>
    <w:multiLevelType w:val="hybridMultilevel"/>
    <w:tmpl w:val="180E1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E10913"/>
    <w:multiLevelType w:val="hybridMultilevel"/>
    <w:tmpl w:val="CA40A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ED3D63"/>
    <w:multiLevelType w:val="hybridMultilevel"/>
    <w:tmpl w:val="F502D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0"/>
  </w:num>
  <w:num w:numId="6">
    <w:abstractNumId w:val="7"/>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79"/>
    <w:rsid w:val="0001167E"/>
    <w:rsid w:val="00011D1F"/>
    <w:rsid w:val="00021D02"/>
    <w:rsid w:val="000D74BB"/>
    <w:rsid w:val="001827EF"/>
    <w:rsid w:val="00197867"/>
    <w:rsid w:val="001A7400"/>
    <w:rsid w:val="002553C6"/>
    <w:rsid w:val="002833B0"/>
    <w:rsid w:val="00290AAC"/>
    <w:rsid w:val="002A01B1"/>
    <w:rsid w:val="002C1E71"/>
    <w:rsid w:val="00314166"/>
    <w:rsid w:val="003378EA"/>
    <w:rsid w:val="00360FCE"/>
    <w:rsid w:val="00367648"/>
    <w:rsid w:val="00377030"/>
    <w:rsid w:val="003B0CAB"/>
    <w:rsid w:val="003E3DE8"/>
    <w:rsid w:val="004A2349"/>
    <w:rsid w:val="004B7240"/>
    <w:rsid w:val="00537C79"/>
    <w:rsid w:val="00555C52"/>
    <w:rsid w:val="005A7F47"/>
    <w:rsid w:val="005C2587"/>
    <w:rsid w:val="00616D79"/>
    <w:rsid w:val="0062513B"/>
    <w:rsid w:val="00626652"/>
    <w:rsid w:val="006516CF"/>
    <w:rsid w:val="00657D32"/>
    <w:rsid w:val="006E557B"/>
    <w:rsid w:val="00727839"/>
    <w:rsid w:val="00767534"/>
    <w:rsid w:val="007A2F29"/>
    <w:rsid w:val="007F161A"/>
    <w:rsid w:val="00826124"/>
    <w:rsid w:val="00852258"/>
    <w:rsid w:val="0085707A"/>
    <w:rsid w:val="00860D8D"/>
    <w:rsid w:val="00883C92"/>
    <w:rsid w:val="008D07E1"/>
    <w:rsid w:val="00945523"/>
    <w:rsid w:val="00955DE9"/>
    <w:rsid w:val="00971291"/>
    <w:rsid w:val="009869A8"/>
    <w:rsid w:val="009B0B1E"/>
    <w:rsid w:val="009B7884"/>
    <w:rsid w:val="009C264B"/>
    <w:rsid w:val="009C6A8F"/>
    <w:rsid w:val="009D15DD"/>
    <w:rsid w:val="009E3920"/>
    <w:rsid w:val="009F1671"/>
    <w:rsid w:val="00A2369F"/>
    <w:rsid w:val="00A35A67"/>
    <w:rsid w:val="00AB7A03"/>
    <w:rsid w:val="00AD01FC"/>
    <w:rsid w:val="00AE415A"/>
    <w:rsid w:val="00B6486C"/>
    <w:rsid w:val="00BE44CE"/>
    <w:rsid w:val="00BF2873"/>
    <w:rsid w:val="00C26864"/>
    <w:rsid w:val="00C4395A"/>
    <w:rsid w:val="00C53261"/>
    <w:rsid w:val="00C71C06"/>
    <w:rsid w:val="00C979BD"/>
    <w:rsid w:val="00CC58C5"/>
    <w:rsid w:val="00CE0EC2"/>
    <w:rsid w:val="00CF1DAD"/>
    <w:rsid w:val="00CF2AFE"/>
    <w:rsid w:val="00CF659F"/>
    <w:rsid w:val="00D01448"/>
    <w:rsid w:val="00D25BD9"/>
    <w:rsid w:val="00D756FD"/>
    <w:rsid w:val="00D77F3B"/>
    <w:rsid w:val="00D91061"/>
    <w:rsid w:val="00DA151C"/>
    <w:rsid w:val="00DC70B0"/>
    <w:rsid w:val="00DE7D8B"/>
    <w:rsid w:val="00E44151"/>
    <w:rsid w:val="00E91431"/>
    <w:rsid w:val="00F00952"/>
    <w:rsid w:val="00F653A5"/>
    <w:rsid w:val="00F7370B"/>
    <w:rsid w:val="00FA5CD0"/>
    <w:rsid w:val="00FB7A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lang w:val="en-US" w:eastAsia="en-US"/>
    </w:rPr>
  </w:style>
  <w:style w:type="paragraph" w:styleId="Heading5">
    <w:name w:val="heading 5"/>
    <w:basedOn w:val="Normal"/>
    <w:next w:val="Normal"/>
    <w:qFormat/>
    <w:pPr>
      <w:keepNext/>
      <w:autoSpaceDE/>
      <w:autoSpaceDN/>
      <w:adjustRightInd/>
      <w:jc w:val="center"/>
      <w:outlineLvl w:val="4"/>
    </w:pPr>
    <w:rPr>
      <w:rFonts w:ascii="Albertus Extra Bold" w:hAnsi="Albertus Extra Bold" w:cs="Times New Roman"/>
      <w:b/>
      <w:sz w:val="36"/>
      <w:lang w:val="en-AU"/>
    </w:rPr>
  </w:style>
  <w:style w:type="paragraph" w:styleId="Heading6">
    <w:name w:val="heading 6"/>
    <w:basedOn w:val="Normal"/>
    <w:next w:val="Normal"/>
    <w:qFormat/>
    <w:pPr>
      <w:keepNext/>
      <w:widowControl/>
      <w:autoSpaceDE/>
      <w:autoSpaceDN/>
      <w:adjustRightInd/>
      <w:jc w:val="center"/>
      <w:outlineLvl w:val="5"/>
    </w:pPr>
    <w:rPr>
      <w:rFonts w:ascii="Times New Roman" w:hAnsi="Times New Roman" w:cs="Times New Roman"/>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autoSpaceDE/>
      <w:autoSpaceDN/>
      <w:adjustRightInd/>
    </w:pPr>
    <w:rPr>
      <w:rFonts w:ascii="Times New Roman" w:hAnsi="Times New Roman" w:cs="Times New Roman"/>
      <w:sz w:val="22"/>
      <w:lang w:val="en-AU"/>
    </w:rPr>
  </w:style>
  <w:style w:type="paragraph" w:styleId="Title">
    <w:name w:val="Title"/>
    <w:basedOn w:val="Normal"/>
    <w:qFormat/>
    <w:pPr>
      <w:autoSpaceDE/>
      <w:autoSpaceDN/>
      <w:adjustRightInd/>
      <w:spacing w:line="1041" w:lineRule="exact"/>
    </w:pPr>
    <w:rPr>
      <w:rFonts w:ascii="Times New Roman" w:hAnsi="Times New Roman" w:cs="Times New Roman"/>
      <w:sz w:val="96"/>
      <w:lang w:val="en-AU"/>
    </w:rPr>
  </w:style>
  <w:style w:type="paragraph" w:styleId="BodyText2">
    <w:name w:val="Body Text 2"/>
    <w:basedOn w:val="Normal"/>
    <w:pPr>
      <w:autoSpaceDE/>
      <w:autoSpaceDN/>
      <w:adjustRightInd/>
      <w:spacing w:line="240" w:lineRule="atLeast"/>
      <w:jc w:val="both"/>
    </w:pPr>
    <w:rPr>
      <w:rFonts w:ascii="Times New Roman" w:hAnsi="Times New Roman" w:cs="Times New Roman"/>
      <w:snapToGrid w:val="0"/>
      <w:color w:val="000000"/>
      <w:sz w:val="22"/>
      <w:lang w:val="en-AU"/>
    </w:rPr>
  </w:style>
  <w:style w:type="paragraph" w:styleId="Subtitle">
    <w:name w:val="Subtitle"/>
    <w:basedOn w:val="Normal"/>
    <w:qFormat/>
    <w:pPr>
      <w:autoSpaceDE/>
      <w:autoSpaceDN/>
      <w:adjustRightInd/>
      <w:jc w:val="center"/>
    </w:pPr>
    <w:rPr>
      <w:rFonts w:ascii="Times New Roman" w:hAnsi="Times New Roman" w:cs="Times New Roman"/>
      <w:b/>
      <w:sz w:val="28"/>
      <w:lang w:val="en-AU"/>
    </w:rPr>
  </w:style>
  <w:style w:type="paragraph" w:styleId="CommentText">
    <w:name w:val="annotation text"/>
    <w:basedOn w:val="Normal"/>
    <w:semiHidden/>
    <w:pPr>
      <w:autoSpaceDE/>
      <w:autoSpaceDN/>
      <w:adjustRightInd/>
    </w:pPr>
    <w:rPr>
      <w:rFonts w:ascii="Times New Roman" w:hAnsi="Times New Roman" w:cs="Times New Roman"/>
      <w:lang w:val="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9869A8"/>
    <w:pPr>
      <w:ind w:left="720"/>
    </w:pPr>
  </w:style>
  <w:style w:type="character" w:styleId="FollowedHyperlink">
    <w:name w:val="FollowedHyperlink"/>
    <w:rsid w:val="00D25BD9"/>
    <w:rPr>
      <w:color w:val="800080"/>
      <w:u w:val="single"/>
    </w:rPr>
  </w:style>
  <w:style w:type="character" w:customStyle="1" w:styleId="pp-headline-item">
    <w:name w:val="pp-headline-item"/>
    <w:rsid w:val="00D91061"/>
  </w:style>
  <w:style w:type="paragraph" w:styleId="BalloonText">
    <w:name w:val="Balloon Text"/>
    <w:basedOn w:val="Normal"/>
    <w:link w:val="BalloonTextChar"/>
    <w:rsid w:val="00D91061"/>
    <w:rPr>
      <w:rFonts w:ascii="Tahoma" w:hAnsi="Tahoma" w:cs="Tahoma"/>
      <w:sz w:val="16"/>
      <w:szCs w:val="16"/>
    </w:rPr>
  </w:style>
  <w:style w:type="character" w:customStyle="1" w:styleId="BalloonTextChar">
    <w:name w:val="Balloon Text Char"/>
    <w:link w:val="BalloonText"/>
    <w:rsid w:val="00D91061"/>
    <w:rPr>
      <w:rFonts w:ascii="Tahoma" w:hAnsi="Tahoma" w:cs="Tahoma"/>
      <w:sz w:val="16"/>
      <w:szCs w:val="16"/>
      <w:lang w:val="en-US" w:eastAsia="en-US"/>
    </w:rPr>
  </w:style>
  <w:style w:type="table" w:styleId="TableGrid">
    <w:name w:val="Table Grid"/>
    <w:basedOn w:val="TableNormal"/>
    <w:rsid w:val="009C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lang w:val="en-US" w:eastAsia="en-US"/>
    </w:rPr>
  </w:style>
  <w:style w:type="paragraph" w:styleId="Heading5">
    <w:name w:val="heading 5"/>
    <w:basedOn w:val="Normal"/>
    <w:next w:val="Normal"/>
    <w:qFormat/>
    <w:pPr>
      <w:keepNext/>
      <w:autoSpaceDE/>
      <w:autoSpaceDN/>
      <w:adjustRightInd/>
      <w:jc w:val="center"/>
      <w:outlineLvl w:val="4"/>
    </w:pPr>
    <w:rPr>
      <w:rFonts w:ascii="Albertus Extra Bold" w:hAnsi="Albertus Extra Bold" w:cs="Times New Roman"/>
      <w:b/>
      <w:sz w:val="36"/>
      <w:lang w:val="en-AU"/>
    </w:rPr>
  </w:style>
  <w:style w:type="paragraph" w:styleId="Heading6">
    <w:name w:val="heading 6"/>
    <w:basedOn w:val="Normal"/>
    <w:next w:val="Normal"/>
    <w:qFormat/>
    <w:pPr>
      <w:keepNext/>
      <w:widowControl/>
      <w:autoSpaceDE/>
      <w:autoSpaceDN/>
      <w:adjustRightInd/>
      <w:jc w:val="center"/>
      <w:outlineLvl w:val="5"/>
    </w:pPr>
    <w:rPr>
      <w:rFonts w:ascii="Times New Roman" w:hAnsi="Times New Roman" w:cs="Times New Roman"/>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autoSpaceDE/>
      <w:autoSpaceDN/>
      <w:adjustRightInd/>
    </w:pPr>
    <w:rPr>
      <w:rFonts w:ascii="Times New Roman" w:hAnsi="Times New Roman" w:cs="Times New Roman"/>
      <w:sz w:val="22"/>
      <w:lang w:val="en-AU"/>
    </w:rPr>
  </w:style>
  <w:style w:type="paragraph" w:styleId="Title">
    <w:name w:val="Title"/>
    <w:basedOn w:val="Normal"/>
    <w:qFormat/>
    <w:pPr>
      <w:autoSpaceDE/>
      <w:autoSpaceDN/>
      <w:adjustRightInd/>
      <w:spacing w:line="1041" w:lineRule="exact"/>
    </w:pPr>
    <w:rPr>
      <w:rFonts w:ascii="Times New Roman" w:hAnsi="Times New Roman" w:cs="Times New Roman"/>
      <w:sz w:val="96"/>
      <w:lang w:val="en-AU"/>
    </w:rPr>
  </w:style>
  <w:style w:type="paragraph" w:styleId="BodyText2">
    <w:name w:val="Body Text 2"/>
    <w:basedOn w:val="Normal"/>
    <w:pPr>
      <w:autoSpaceDE/>
      <w:autoSpaceDN/>
      <w:adjustRightInd/>
      <w:spacing w:line="240" w:lineRule="atLeast"/>
      <w:jc w:val="both"/>
    </w:pPr>
    <w:rPr>
      <w:rFonts w:ascii="Times New Roman" w:hAnsi="Times New Roman" w:cs="Times New Roman"/>
      <w:snapToGrid w:val="0"/>
      <w:color w:val="000000"/>
      <w:sz w:val="22"/>
      <w:lang w:val="en-AU"/>
    </w:rPr>
  </w:style>
  <w:style w:type="paragraph" w:styleId="Subtitle">
    <w:name w:val="Subtitle"/>
    <w:basedOn w:val="Normal"/>
    <w:qFormat/>
    <w:pPr>
      <w:autoSpaceDE/>
      <w:autoSpaceDN/>
      <w:adjustRightInd/>
      <w:jc w:val="center"/>
    </w:pPr>
    <w:rPr>
      <w:rFonts w:ascii="Times New Roman" w:hAnsi="Times New Roman" w:cs="Times New Roman"/>
      <w:b/>
      <w:sz w:val="28"/>
      <w:lang w:val="en-AU"/>
    </w:rPr>
  </w:style>
  <w:style w:type="paragraph" w:styleId="CommentText">
    <w:name w:val="annotation text"/>
    <w:basedOn w:val="Normal"/>
    <w:semiHidden/>
    <w:pPr>
      <w:autoSpaceDE/>
      <w:autoSpaceDN/>
      <w:adjustRightInd/>
    </w:pPr>
    <w:rPr>
      <w:rFonts w:ascii="Times New Roman" w:hAnsi="Times New Roman" w:cs="Times New Roman"/>
      <w:lang w:val="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9869A8"/>
    <w:pPr>
      <w:ind w:left="720"/>
    </w:pPr>
  </w:style>
  <w:style w:type="character" w:styleId="FollowedHyperlink">
    <w:name w:val="FollowedHyperlink"/>
    <w:rsid w:val="00D25BD9"/>
    <w:rPr>
      <w:color w:val="800080"/>
      <w:u w:val="single"/>
    </w:rPr>
  </w:style>
  <w:style w:type="character" w:customStyle="1" w:styleId="pp-headline-item">
    <w:name w:val="pp-headline-item"/>
    <w:rsid w:val="00D91061"/>
  </w:style>
  <w:style w:type="paragraph" w:styleId="BalloonText">
    <w:name w:val="Balloon Text"/>
    <w:basedOn w:val="Normal"/>
    <w:link w:val="BalloonTextChar"/>
    <w:rsid w:val="00D91061"/>
    <w:rPr>
      <w:rFonts w:ascii="Tahoma" w:hAnsi="Tahoma" w:cs="Tahoma"/>
      <w:sz w:val="16"/>
      <w:szCs w:val="16"/>
    </w:rPr>
  </w:style>
  <w:style w:type="character" w:customStyle="1" w:styleId="BalloonTextChar">
    <w:name w:val="Balloon Text Char"/>
    <w:link w:val="BalloonText"/>
    <w:rsid w:val="00D91061"/>
    <w:rPr>
      <w:rFonts w:ascii="Tahoma" w:hAnsi="Tahoma" w:cs="Tahoma"/>
      <w:sz w:val="16"/>
      <w:szCs w:val="16"/>
      <w:lang w:val="en-US" w:eastAsia="en-US"/>
    </w:rPr>
  </w:style>
  <w:style w:type="table" w:styleId="TableGrid">
    <w:name w:val="Table Grid"/>
    <w:basedOn w:val="TableNormal"/>
    <w:rsid w:val="009C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0651">
      <w:bodyDiv w:val="1"/>
      <w:marLeft w:val="0"/>
      <w:marRight w:val="0"/>
      <w:marTop w:val="0"/>
      <w:marBottom w:val="0"/>
      <w:divBdr>
        <w:top w:val="none" w:sz="0" w:space="0" w:color="auto"/>
        <w:left w:val="none" w:sz="0" w:space="0" w:color="auto"/>
        <w:bottom w:val="none" w:sz="0" w:space="0" w:color="auto"/>
        <w:right w:val="none" w:sz="0" w:space="0" w:color="auto"/>
      </w:divBdr>
    </w:div>
    <w:div w:id="671496082">
      <w:bodyDiv w:val="1"/>
      <w:marLeft w:val="0"/>
      <w:marRight w:val="0"/>
      <w:marTop w:val="0"/>
      <w:marBottom w:val="0"/>
      <w:divBdr>
        <w:top w:val="none" w:sz="0" w:space="0" w:color="auto"/>
        <w:left w:val="none" w:sz="0" w:space="0" w:color="auto"/>
        <w:bottom w:val="none" w:sz="0" w:space="0" w:color="auto"/>
        <w:right w:val="none" w:sz="0" w:space="0" w:color="auto"/>
      </w:divBdr>
    </w:div>
    <w:div w:id="1576088499">
      <w:bodyDiv w:val="1"/>
      <w:marLeft w:val="0"/>
      <w:marRight w:val="0"/>
      <w:marTop w:val="0"/>
      <w:marBottom w:val="0"/>
      <w:divBdr>
        <w:top w:val="none" w:sz="0" w:space="0" w:color="auto"/>
        <w:left w:val="none" w:sz="0" w:space="0" w:color="auto"/>
        <w:bottom w:val="none" w:sz="0" w:space="0" w:color="auto"/>
        <w:right w:val="none" w:sz="0" w:space="0" w:color="auto"/>
      </w:divBdr>
    </w:div>
    <w:div w:id="1705785586">
      <w:bodyDiv w:val="1"/>
      <w:marLeft w:val="0"/>
      <w:marRight w:val="0"/>
      <w:marTop w:val="0"/>
      <w:marBottom w:val="0"/>
      <w:divBdr>
        <w:top w:val="none" w:sz="0" w:space="0" w:color="auto"/>
        <w:left w:val="none" w:sz="0" w:space="0" w:color="auto"/>
        <w:bottom w:val="none" w:sz="0" w:space="0" w:color="auto"/>
        <w:right w:val="none" w:sz="0" w:space="0" w:color="auto"/>
      </w:divBdr>
    </w:div>
    <w:div w:id="214272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australiangeomechan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geomechanic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3A50-A587-4A36-B5F0-F250C283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AGS VICTORIA CHAPTER</vt:lpstr>
    </vt:vector>
  </TitlesOfParts>
  <Company>Parsons Brinckerhoff Australia</Company>
  <LinksUpToDate>false</LinksUpToDate>
  <CharactersWithSpaces>3566</CharactersWithSpaces>
  <SharedDoc>false</SharedDoc>
  <HLinks>
    <vt:vector size="66" baseType="variant">
      <vt:variant>
        <vt:i4>3538947</vt:i4>
      </vt:variant>
      <vt:variant>
        <vt:i4>30</vt:i4>
      </vt:variant>
      <vt:variant>
        <vt:i4>0</vt:i4>
      </vt:variant>
      <vt:variant>
        <vt:i4>5</vt:i4>
      </vt:variant>
      <vt:variant>
        <vt:lpwstr>mailto:secretary@australiangeomechanics.org</vt:lpwstr>
      </vt:variant>
      <vt:variant>
        <vt:lpwstr/>
      </vt:variant>
      <vt:variant>
        <vt:i4>3997743</vt:i4>
      </vt:variant>
      <vt:variant>
        <vt:i4>27</vt:i4>
      </vt:variant>
      <vt:variant>
        <vt:i4>0</vt:i4>
      </vt:variant>
      <vt:variant>
        <vt:i4>5</vt:i4>
      </vt:variant>
      <vt:variant>
        <vt:lpwstr>http://www.australiangeomechanics.org/</vt:lpwstr>
      </vt:variant>
      <vt:variant>
        <vt:lpwstr/>
      </vt:variant>
      <vt:variant>
        <vt:i4>3080285</vt:i4>
      </vt:variant>
      <vt:variant>
        <vt:i4>24</vt:i4>
      </vt:variant>
      <vt:variant>
        <vt:i4>0</vt:i4>
      </vt:variant>
      <vt:variant>
        <vt:i4>5</vt:i4>
      </vt:variant>
      <vt:variant>
        <vt:lpwstr>mailto:JBradley@engineersaustralia.org.au</vt:lpwstr>
      </vt:variant>
      <vt:variant>
        <vt:lpwstr/>
      </vt:variant>
      <vt:variant>
        <vt:i4>3538947</vt:i4>
      </vt:variant>
      <vt:variant>
        <vt:i4>21</vt:i4>
      </vt:variant>
      <vt:variant>
        <vt:i4>0</vt:i4>
      </vt:variant>
      <vt:variant>
        <vt:i4>5</vt:i4>
      </vt:variant>
      <vt:variant>
        <vt:lpwstr>mailto:secretary@australiangeomechanics.org</vt:lpwstr>
      </vt:variant>
      <vt:variant>
        <vt:lpwstr/>
      </vt:variant>
      <vt:variant>
        <vt:i4>2490400</vt:i4>
      </vt:variant>
      <vt:variant>
        <vt:i4>18</vt:i4>
      </vt:variant>
      <vt:variant>
        <vt:i4>0</vt:i4>
      </vt:variant>
      <vt:variant>
        <vt:i4>5</vt:i4>
      </vt:variant>
      <vt:variant>
        <vt:lpwstr>http://www.thetravelinn.com.au/</vt:lpwstr>
      </vt:variant>
      <vt:variant>
        <vt:lpwstr/>
      </vt:variant>
      <vt:variant>
        <vt:i4>4194353</vt:i4>
      </vt:variant>
      <vt:variant>
        <vt:i4>15</vt:i4>
      </vt:variant>
      <vt:variant>
        <vt:i4>0</vt:i4>
      </vt:variant>
      <vt:variant>
        <vt:i4>5</vt:i4>
      </vt:variant>
      <vt:variant>
        <vt:lpwstr>mailto:narsilio@unimelb.edu.au</vt:lpwstr>
      </vt:variant>
      <vt:variant>
        <vt:lpwstr/>
      </vt:variant>
      <vt:variant>
        <vt:i4>4587572</vt:i4>
      </vt:variant>
      <vt:variant>
        <vt:i4>12</vt:i4>
      </vt:variant>
      <vt:variant>
        <vt:i4>0</vt:i4>
      </vt:variant>
      <vt:variant>
        <vt:i4>5</vt:i4>
      </vt:variant>
      <vt:variant>
        <vt:lpwstr>mailto:mmiridisfani@swin.edu.au</vt:lpwstr>
      </vt:variant>
      <vt:variant>
        <vt:lpwstr/>
      </vt:variant>
      <vt:variant>
        <vt:i4>6357007</vt:i4>
      </vt:variant>
      <vt:variant>
        <vt:i4>9</vt:i4>
      </vt:variant>
      <vt:variant>
        <vt:i4>0</vt:i4>
      </vt:variant>
      <vt:variant>
        <vt:i4>5</vt:i4>
      </vt:variant>
      <vt:variant>
        <vt:lpwstr>mailto:Rebekah.hayne@gmail.com</vt:lpwstr>
      </vt:variant>
      <vt:variant>
        <vt:lpwstr/>
      </vt:variant>
      <vt:variant>
        <vt:i4>4718674</vt:i4>
      </vt:variant>
      <vt:variant>
        <vt:i4>6</vt:i4>
      </vt:variant>
      <vt:variant>
        <vt:i4>0</vt:i4>
      </vt:variant>
      <vt:variant>
        <vt:i4>5</vt:i4>
      </vt:variant>
      <vt:variant>
        <vt:lpwstr>https://events.engineersaustralia.org.au/ei/wicloginpage.ei2?id=1522</vt:lpwstr>
      </vt:variant>
      <vt:variant>
        <vt:lpwstr/>
      </vt:variant>
      <vt:variant>
        <vt:i4>1179664</vt:i4>
      </vt:variant>
      <vt:variant>
        <vt:i4>3</vt:i4>
      </vt:variant>
      <vt:variant>
        <vt:i4>0</vt:i4>
      </vt:variant>
      <vt:variant>
        <vt:i4>5</vt:i4>
      </vt:variant>
      <vt:variant>
        <vt:lpwstr>https://engineersaustralia.wufoo.eu/forms/engineers-australia-online-events-booking-form/</vt:lpwstr>
      </vt:variant>
      <vt:variant>
        <vt:lpwstr/>
      </vt:variant>
      <vt:variant>
        <vt:i4>3080285</vt:i4>
      </vt:variant>
      <vt:variant>
        <vt:i4>0</vt:i4>
      </vt:variant>
      <vt:variant>
        <vt:i4>0</vt:i4>
      </vt:variant>
      <vt:variant>
        <vt:i4>5</vt:i4>
      </vt:variant>
      <vt:variant>
        <vt:lpwstr>mailto:JBradley@engineersaustralia.org.au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 VICTORIA CHAPTER</dc:title>
  <dc:creator>tysons</dc:creator>
  <cp:lastModifiedBy>FLagier</cp:lastModifiedBy>
  <cp:revision>2</cp:revision>
  <cp:lastPrinted>2015-02-02T22:18:00Z</cp:lastPrinted>
  <dcterms:created xsi:type="dcterms:W3CDTF">2015-08-25T03:48:00Z</dcterms:created>
  <dcterms:modified xsi:type="dcterms:W3CDTF">2015-08-25T03:48:00Z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Costing">
    <vt:filetime>2009-03-04T03:48:26Z</vt:filetime>
  </property>
</Properties>
</file>